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center" w:tblpY="-960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1336"/>
        <w:gridCol w:w="1134"/>
      </w:tblGrid>
      <w:tr w:rsidR="00BF3FDE" w:rsidRPr="00BF3FDE" w:rsidTr="0099268C">
        <w:trPr>
          <w:trHeight w:val="1403"/>
        </w:trPr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T.C.</w:t>
            </w:r>
          </w:p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TOROS ÜNİVERSİTESİ</w:t>
            </w:r>
          </w:p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FEN ve SOSYAL BİLİMLER ENSTİTÜSÜ</w:t>
            </w:r>
          </w:p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EĞİTİM-ÖĞRETİM YILI AKADEMİK TAKVİMİ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E25041"/>
                <w:sz w:val="24"/>
                <w:szCs w:val="24"/>
                <w:highlight w:val="cyan"/>
                <w:shd w:val="clear" w:color="auto" w:fill="F7DA64"/>
                <w:lang w:eastAsia="tr-TR"/>
              </w:rPr>
              <w:t>2018-2019 Güz Yarıyılı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Başlangıç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Bitiş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Öğrenci, Yatay Geçiş ve Tümleşik Eğitim Kontenjanlarının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20.04.2018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20.04.2018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Öğrenci, Yatay Geçiş ve Tümleşik Eğitim Kontenjanlarının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27.04.2018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27.04.2018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Ders Görevlendirmelerinin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07.05.2018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07.05.2018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 ve Yatay Geçiş Kontenjanlarının Rektörlüğe Bildirilmesi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</w:tr>
      <w:tr w:rsidR="0099268C" w:rsidRPr="00BF3FDE" w:rsidTr="0099268C">
        <w:trPr>
          <w:trHeight w:val="543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Ders Görevlendirmelerinin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 ve Yatay Geçiş Kontenjanlarının İlanı ve Başvuru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22.06.2018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31.08.2018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Kesin Kayıt, Ders Kayıtları, Kayıt Yenileme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27.08.2018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14.09.2018</w:t>
            </w:r>
          </w:p>
        </w:tc>
      </w:tr>
      <w:tr w:rsidR="0099268C" w:rsidRPr="00BF3FDE" w:rsidTr="0099268C">
        <w:trPr>
          <w:trHeight w:val="543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 Nedeniyle Ders Kaydı Yaptıramayanların Enstitüye Mazeret Dilekçesi Verme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25.09.2018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Özel Öğrenci Kayıtları- Tümleşik Eğitim Kayıtları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Ekleme Çıkarma Tarihleri ve Danışman Onaylarının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İzinli Sayılma Başvuru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27.08.2018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Ders Kayıtlarının Danışman Onaylarının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27.08.2018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Eğitim Öğretim Dönemi (Derslerin Başlangıç ve Bitiş Tarihi)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21.12.2018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Öğrenci, Yatay Geçiş ve Tümleşik Eğitim Kontenjanlarının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24.09.2018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Öğrenci, Yatay Geçiş ve Tümleşik Eğitim Kontenjanlarının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01.10.2018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Mazeretleri Yönetim Kurulunca Kabul Edilenlerin Mazeretli Ders Kayıt Tarihleri ve Danışman Onaylarının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05.10.2018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kayıt Çıktılarının Alınması, Danışmana İmzalattırılarak Enstitüye Teslimi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08.10.2018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09.11.2018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 ve Yatay Geçiş Kontenjanlarının Rektörlüğe Bildirilmesi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12.10.2018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12.10.2018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 ve Yatay Geçiş Kontenjanlarının İlanı ve Başvuru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25.01.2019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Ara Sınavları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30.10.2018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05.11.2018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Doktora Tez İzleme Komitesi Toplantıları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31.12.2018</w:t>
            </w:r>
          </w:p>
        </w:tc>
      </w:tr>
      <w:tr w:rsidR="0099268C" w:rsidRPr="00BF3FDE" w:rsidTr="0099268C">
        <w:trPr>
          <w:trHeight w:val="543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Ders Görevlendirmelerinin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03.12.2018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Ders Görevlendirmelerinin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14.12.2018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Yarıyıl Sonu Sınavları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09.01.2019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Yarıyıl Sonu Sınavlarının Öğrenci Bilgi Sistemine Girilmesi ve İlanı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18.01.2019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2018-2019 Eğitim-Öğretim Yılı Güz Yarıyılı Doktora Yeterlik Sınavlarının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11.02.2019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Bütünleme Sınavları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18.01.2019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Bütünleme Sınavlarının Öğrenci Bilgi Sistemine Girilmesi ve İlanı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21.01.2019</w:t>
            </w:r>
          </w:p>
        </w:tc>
      </w:tr>
    </w:tbl>
    <w:p w:rsidR="00BF3FDE" w:rsidRPr="00BF3FDE" w:rsidRDefault="00BF3FDE" w:rsidP="00152F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eastAsia="tr-TR"/>
        </w:rPr>
      </w:pPr>
    </w:p>
    <w:p w:rsidR="00152FBF" w:rsidRDefault="00152FBF" w:rsidP="00152FBF">
      <w:pPr>
        <w:spacing w:after="0" w:line="240" w:lineRule="auto"/>
      </w:pPr>
    </w:p>
    <w:tbl>
      <w:tblPr>
        <w:tblpPr w:leftFromText="45" w:rightFromText="45" w:vertAnchor="text" w:horzAnchor="margin" w:tblpXSpec="center" w:tblpY="226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1364"/>
        <w:gridCol w:w="1132"/>
      </w:tblGrid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B8312F"/>
                <w:sz w:val="24"/>
                <w:szCs w:val="24"/>
                <w:highlight w:val="cyan"/>
                <w:shd w:val="clear" w:color="auto" w:fill="F7DA64"/>
                <w:lang w:eastAsia="tr-TR"/>
              </w:rPr>
              <w:t>2018-2019 Bahar Yarıyılı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Başlangıç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Bitiş</w:t>
            </w:r>
          </w:p>
        </w:tc>
      </w:tr>
      <w:tr w:rsidR="0099268C" w:rsidRPr="00BF3FDE" w:rsidTr="0099268C">
        <w:trPr>
          <w:trHeight w:val="546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 ve Yatay Geçiş Kontenjanlarının İlanı ve Başvuru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25.01.2019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Kesin Kayıt, Ders Kayıtları, Kayıt Yenileme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01.02.2019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Ders Kayıtlarının Danışman Onaylarının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01.03.2019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İzinli Sayılma Başvuru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01.03.2019</w:t>
            </w:r>
          </w:p>
        </w:tc>
      </w:tr>
      <w:tr w:rsidR="0099268C" w:rsidRPr="00BF3FDE" w:rsidTr="0099268C">
        <w:trPr>
          <w:trHeight w:val="546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 Nedeniyle Ders Kaydı Yaptıramayanların Enstitüye Mazeret Dilekçesi Verme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12.02.2019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Özel Öğrenci Kayıtları- Tümleşik Eğitim Kayıtları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15.02.2019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Ekleme Çıkarma Tarihleri ve Danışman Onaylarının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15.02.2019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Eğitim Öğretim Dönemi (Derslerin Başlangıç ve Bitiş Tarihi)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14.05.2019</w:t>
            </w:r>
          </w:p>
        </w:tc>
      </w:tr>
      <w:tr w:rsidR="0099268C" w:rsidRPr="00BF3FDE" w:rsidTr="0099268C">
        <w:trPr>
          <w:trHeight w:val="546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Mazeretleri Yönetim Kurulunca Kabul Edilenlerin Mazeretli Ders Kayıt Tarihleri ve Danışman Onaylarının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22.02.2019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kayıt Çıktılarının Alınması, Danışmana İmzalattırılarak Enstitüye Teslimi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25.03.2019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Ara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18.03.2019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29.03.2019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Yarıyıl Sonu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20.05.2019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31.05.2019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Yarıyıl Sonu Sınavlarının Öğrenci Bilgi Sistemine Girilmesi ve İlanı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20.05.2019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07.06.2019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Doktora Yeterlik Sınavlarının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03.07.2019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Doktora Tez İzleme Komitesi Toplantıları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Bütünleme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10.06.2019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14.06.2019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Bütünleme Sınavlarının Öğrenci Bilgi Sistemine Girilmesi ve İlanı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10.06.2019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B8312F"/>
                <w:sz w:val="24"/>
                <w:szCs w:val="24"/>
                <w:shd w:val="clear" w:color="auto" w:fill="F7DA64"/>
                <w:lang w:eastAsia="tr-TR"/>
              </w:rPr>
              <w:t>Yaz Dönemi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Başlangıç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Bitiş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Ön Kayıt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18.06.2019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Kesin Kayıt Tarihleri ve Danışman Onayları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19.06.2019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Eğitim Öğretim Dönemi (Derslerin Başlangıç ve Bitiş Tarihi)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09.08.2019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Sonu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19.08.2019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23.08.2019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Yaz Dönemi Sınav Sonuçlarının </w:t>
            </w:r>
            <w:proofErr w:type="spellStart"/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OBS’ye</w:t>
            </w:r>
            <w:proofErr w:type="spellEnd"/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 Girilmesi ve İlanı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19.08.2019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26.08.2019</w:t>
            </w:r>
          </w:p>
        </w:tc>
      </w:tr>
    </w:tbl>
    <w:p w:rsidR="00670F9B" w:rsidRDefault="00670F9B"/>
    <w:sectPr w:rsidR="0067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D2"/>
    <w:rsid w:val="00056D3A"/>
    <w:rsid w:val="00152FBF"/>
    <w:rsid w:val="00670F9B"/>
    <w:rsid w:val="0099268C"/>
    <w:rsid w:val="00A770D0"/>
    <w:rsid w:val="00BE0376"/>
    <w:rsid w:val="00BF3FDE"/>
    <w:rsid w:val="00E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E75F-9335-4042-A0C5-B2501941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A770D0"/>
    <w:rPr>
      <w:color w:val="0075A2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nazmiye gökçel</cp:lastModifiedBy>
  <cp:revision>2</cp:revision>
  <dcterms:created xsi:type="dcterms:W3CDTF">2020-04-24T19:29:00Z</dcterms:created>
  <dcterms:modified xsi:type="dcterms:W3CDTF">2020-04-24T19:29:00Z</dcterms:modified>
</cp:coreProperties>
</file>